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51" w:rsidRDefault="00652D51">
      <w:r>
        <w:rPr>
          <w:b/>
          <w:bCs/>
          <w:noProof/>
          <w:sz w:val="28"/>
          <w:szCs w:val="28"/>
        </w:rPr>
        <w:drawing>
          <wp:inline distT="0" distB="0" distL="0" distR="0" wp14:anchorId="00CFCEFE" wp14:editId="3F449986">
            <wp:extent cx="6099349" cy="2301072"/>
            <wp:effectExtent l="0" t="0" r="0" b="4445"/>
            <wp:docPr id="3" name="Picture 3" descr="C:\Users\ARobert\Desktop\14-0279.Banner PTAB Highlights Header Graphic_C04_R1_750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Desktop\14-0279.Banner PTAB Highlights Header Graphic_C04_R1_750x2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1576" cy="2305685"/>
                    </a:xfrm>
                    <a:prstGeom prst="rect">
                      <a:avLst/>
                    </a:prstGeom>
                    <a:noFill/>
                    <a:ln>
                      <a:noFill/>
                    </a:ln>
                  </pic:spPr>
                </pic:pic>
              </a:graphicData>
            </a:graphic>
          </wp:inline>
        </w:drawing>
      </w:r>
    </w:p>
    <w:p w:rsidR="00652D51" w:rsidRDefault="00652D51"/>
    <w:p w:rsidR="00652D51" w:rsidRPr="00652D51" w:rsidRDefault="00652D51" w:rsidP="00652D51">
      <w:pPr>
        <w:autoSpaceDE w:val="0"/>
        <w:autoSpaceDN w:val="0"/>
        <w:adjustRightInd w:val="0"/>
        <w:spacing w:line="240" w:lineRule="auto"/>
        <w:jc w:val="center"/>
        <w:rPr>
          <w:rFonts w:eastAsia="Times New Roman"/>
          <w:color w:val="000081"/>
          <w:sz w:val="36"/>
          <w:szCs w:val="36"/>
        </w:rPr>
      </w:pPr>
      <w:r w:rsidRPr="00652D51">
        <w:rPr>
          <w:rFonts w:eastAsia="Times New Roman"/>
          <w:color w:val="000081"/>
          <w:sz w:val="36"/>
          <w:szCs w:val="36"/>
        </w:rPr>
        <w:t>Don’t Try to Barnstorm Proof of Printed Publication</w:t>
      </w:r>
      <w:r w:rsidRPr="00652D51">
        <w:rPr>
          <w:rFonts w:eastAsia="Times New Roman"/>
          <w:color w:val="000081"/>
          <w:sz w:val="36"/>
          <w:szCs w:val="36"/>
        </w:rPr>
        <w:br/>
      </w:r>
    </w:p>
    <w:p w:rsidR="00652D51" w:rsidRPr="00652D51" w:rsidRDefault="00652D51" w:rsidP="00652D51">
      <w:pPr>
        <w:autoSpaceDE w:val="0"/>
        <w:autoSpaceDN w:val="0"/>
        <w:adjustRightInd w:val="0"/>
        <w:spacing w:line="240" w:lineRule="auto"/>
        <w:jc w:val="center"/>
        <w:rPr>
          <w:rFonts w:ascii="Times New Roman" w:eastAsia="Times New Roman" w:hAnsi="Times New Roman" w:cs="Times New Roman"/>
          <w:color w:val="000000"/>
          <w:u w:val="single"/>
        </w:rPr>
      </w:pPr>
      <w:r w:rsidRPr="00652D51">
        <w:rPr>
          <w:rFonts w:ascii="Times New Roman" w:eastAsia="Times New Roman" w:hAnsi="Times New Roman" w:cs="Times New Roman"/>
          <w:color w:val="000000"/>
        </w:rPr>
        <w:t>B</w:t>
      </w:r>
      <w:r w:rsidR="00454B77">
        <w:rPr>
          <w:rFonts w:ascii="Times New Roman" w:eastAsia="Times New Roman" w:hAnsi="Times New Roman" w:cs="Times New Roman"/>
          <w:color w:val="000000"/>
        </w:rPr>
        <w:t xml:space="preserve">y </w:t>
      </w:r>
      <w:hyperlink r:id="rId6" w:history="1">
        <w:r w:rsidR="00454B77" w:rsidRPr="00A162EC">
          <w:rPr>
            <w:rStyle w:val="Hyperlink"/>
            <w:rFonts w:ascii="Times New Roman" w:eastAsia="Times New Roman" w:hAnsi="Times New Roman" w:cs="Times New Roman"/>
          </w:rPr>
          <w:t>H. Wayne</w:t>
        </w:r>
        <w:r w:rsidRPr="00A162EC">
          <w:rPr>
            <w:rStyle w:val="Hyperlink"/>
            <w:rFonts w:ascii="Times New Roman" w:eastAsia="Times New Roman" w:hAnsi="Times New Roman" w:cs="Times New Roman"/>
          </w:rPr>
          <w:t xml:space="preserve"> Porter</w:t>
        </w:r>
      </w:hyperlink>
      <w:bookmarkStart w:id="0" w:name="_GoBack"/>
      <w:bookmarkEnd w:id="0"/>
    </w:p>
    <w:p w:rsidR="00652D51" w:rsidRPr="00652D51" w:rsidRDefault="00652D51" w:rsidP="00652D51">
      <w:pPr>
        <w:spacing w:line="240" w:lineRule="auto"/>
        <w:jc w:val="left"/>
        <w:rPr>
          <w:rFonts w:ascii="Times New Roman" w:eastAsia="Times New Roman" w:hAnsi="Times New Roman" w:cs="Times New Roman"/>
          <w:color w:val="000000"/>
          <w:sz w:val="20"/>
          <w:szCs w:val="20"/>
        </w:rPr>
      </w:pPr>
    </w:p>
    <w:p w:rsidR="00652D51" w:rsidRPr="00652D51" w:rsidRDefault="00652D51" w:rsidP="00652D51">
      <w:pPr>
        <w:spacing w:line="240" w:lineRule="auto"/>
        <w:jc w:val="left"/>
        <w:rPr>
          <w:rFonts w:ascii="Times New Roman" w:eastAsia="Times New Roman" w:hAnsi="Times New Roman" w:cs="Times New Roman"/>
          <w:bCs/>
        </w:rPr>
      </w:pPr>
      <w:r>
        <w:rPr>
          <w:rFonts w:ascii="Times New Roman" w:eastAsia="Times New Roman" w:hAnsi="Times New Roman" w:cs="Times New Roman"/>
          <w:bCs/>
        </w:rPr>
        <w:t>October 16</w:t>
      </w:r>
      <w:r w:rsidRPr="00652D51">
        <w:rPr>
          <w:rFonts w:ascii="Times New Roman" w:eastAsia="Times New Roman" w:hAnsi="Times New Roman" w:cs="Times New Roman"/>
          <w:bCs/>
        </w:rPr>
        <w:t>, 2014</w:t>
      </w:r>
      <w:r>
        <w:rPr>
          <w:rFonts w:ascii="Times New Roman" w:eastAsia="Times New Roman" w:hAnsi="Times New Roman" w:cs="Times New Roman"/>
          <w:bCs/>
        </w:rPr>
        <w:t xml:space="preserve"> — </w:t>
      </w:r>
      <w:r w:rsidRPr="00652D51">
        <w:rPr>
          <w:rFonts w:ascii="Times New Roman" w:eastAsia="Times New Roman" w:hAnsi="Times New Roman" w:cs="Times New Roman"/>
          <w:bCs/>
        </w:rPr>
        <w:t xml:space="preserve">The PTAB recently denied institution of </w:t>
      </w:r>
      <w:r w:rsidRPr="00746C17">
        <w:rPr>
          <w:rFonts w:ascii="Times New Roman" w:eastAsia="Times New Roman" w:hAnsi="Times New Roman" w:cs="Times New Roman"/>
          <w:bCs/>
          <w:i/>
        </w:rPr>
        <w:t>inter partes</w:t>
      </w:r>
      <w:r w:rsidRPr="00652D51">
        <w:rPr>
          <w:rFonts w:ascii="Times New Roman" w:eastAsia="Times New Roman" w:hAnsi="Times New Roman" w:cs="Times New Roman"/>
          <w:bCs/>
        </w:rPr>
        <w:t xml:space="preserve"> review based on a petitioner’s failure to prove that a document was indeed a printed publication qualifying as prior art to the patent at issue.</w:t>
      </w:r>
    </w:p>
    <w:p w:rsidR="00652D51" w:rsidRDefault="00652D51" w:rsidP="00652D51">
      <w:pPr>
        <w:spacing w:line="240" w:lineRule="auto"/>
        <w:rPr>
          <w:rFonts w:ascii="Times New Roman" w:eastAsia="Times New Roman" w:hAnsi="Times New Roman" w:cs="Times New Roman"/>
          <w:bCs/>
        </w:rPr>
      </w:pPr>
    </w:p>
    <w:p w:rsidR="00AA6B41" w:rsidRDefault="00746C17" w:rsidP="00652D51">
      <w:pPr>
        <w:spacing w:line="240" w:lineRule="auto"/>
        <w:rPr>
          <w:rFonts w:ascii="Times New Roman" w:eastAsia="Times New Roman" w:hAnsi="Times New Roman" w:cs="Times New Roman"/>
          <w:color w:val="000081"/>
          <w:u w:val="single"/>
        </w:rPr>
      </w:pPr>
      <w:r>
        <w:rPr>
          <w:rFonts w:ascii="Times New Roman" w:eastAsia="Times New Roman" w:hAnsi="Times New Roman" w:cs="Times New Roman"/>
          <w:color w:val="000081"/>
          <w:u w:val="single"/>
        </w:rPr>
        <w:t xml:space="preserve">IPR2014-00671 – </w:t>
      </w:r>
      <w:r w:rsidR="00652D51" w:rsidRPr="00652D51">
        <w:rPr>
          <w:rFonts w:ascii="Times New Roman" w:eastAsia="Times New Roman" w:hAnsi="Times New Roman" w:cs="Times New Roman"/>
          <w:color w:val="000081"/>
          <w:u w:val="single"/>
        </w:rPr>
        <w:t>A.R.M., Inc. v. Cottingham Agencies Ltd.</w:t>
      </w:r>
      <w:r w:rsidR="00052F67">
        <w:rPr>
          <w:rFonts w:ascii="Times New Roman" w:eastAsia="Times New Roman" w:hAnsi="Times New Roman" w:cs="Times New Roman"/>
          <w:color w:val="000081"/>
          <w:u w:val="single"/>
        </w:rPr>
        <w:t xml:space="preserve"> (Paper 10)</w:t>
      </w:r>
    </w:p>
    <w:p w:rsidR="00652D51" w:rsidRPr="00652D51" w:rsidRDefault="00652D51" w:rsidP="00652D51">
      <w:pPr>
        <w:spacing w:line="240" w:lineRule="auto"/>
      </w:pPr>
    </w:p>
    <w:p w:rsidR="00AA6B41" w:rsidRPr="00652D51" w:rsidRDefault="00AA6B41" w:rsidP="00652D51">
      <w:pPr>
        <w:spacing w:line="240" w:lineRule="auto"/>
        <w:rPr>
          <w:rFonts w:ascii="Times New Roman" w:hAnsi="Times New Roman" w:cs="Times New Roman"/>
        </w:rPr>
      </w:pPr>
      <w:r w:rsidRPr="00652D51">
        <w:rPr>
          <w:rFonts w:ascii="Times New Roman" w:hAnsi="Times New Roman" w:cs="Times New Roman"/>
        </w:rPr>
        <w:t>The patent in question is titled “Amusement Ride</w:t>
      </w:r>
      <w:r w:rsidR="00740E56" w:rsidRPr="00652D51">
        <w:rPr>
          <w:rFonts w:ascii="Times New Roman" w:hAnsi="Times New Roman" w:cs="Times New Roman"/>
        </w:rPr>
        <w:t>.</w:t>
      </w:r>
      <w:r w:rsidRPr="00652D51">
        <w:rPr>
          <w:rFonts w:ascii="Times New Roman" w:hAnsi="Times New Roman" w:cs="Times New Roman"/>
        </w:rPr>
        <w:t xml:space="preserve">” In a </w:t>
      </w:r>
      <w:r w:rsidR="0004424C">
        <w:rPr>
          <w:rFonts w:ascii="Times New Roman" w:hAnsi="Times New Roman" w:cs="Times New Roman"/>
        </w:rPr>
        <w:t>d</w:t>
      </w:r>
      <w:r w:rsidRPr="00652D51">
        <w:rPr>
          <w:rFonts w:ascii="Times New Roman" w:hAnsi="Times New Roman" w:cs="Times New Roman"/>
        </w:rPr>
        <w:t xml:space="preserve">ecision entered October 3, 2014, the PTAB denied a petition to institute </w:t>
      </w:r>
      <w:r w:rsidRPr="00652D51">
        <w:rPr>
          <w:rFonts w:ascii="Times New Roman" w:hAnsi="Times New Roman" w:cs="Times New Roman"/>
          <w:i/>
        </w:rPr>
        <w:t>inter partes</w:t>
      </w:r>
      <w:r w:rsidRPr="00652D51">
        <w:rPr>
          <w:rFonts w:ascii="Times New Roman" w:hAnsi="Times New Roman" w:cs="Times New Roman"/>
        </w:rPr>
        <w:t xml:space="preserve"> review</w:t>
      </w:r>
      <w:r w:rsidR="0004424C">
        <w:rPr>
          <w:rFonts w:ascii="Times New Roman" w:hAnsi="Times New Roman" w:cs="Times New Roman"/>
        </w:rPr>
        <w:t xml:space="preserve">. </w:t>
      </w:r>
      <w:r w:rsidRPr="00652D51">
        <w:rPr>
          <w:rFonts w:ascii="Times New Roman" w:hAnsi="Times New Roman" w:cs="Times New Roman"/>
        </w:rPr>
        <w:t xml:space="preserve">The </w:t>
      </w:r>
      <w:r w:rsidR="0004424C">
        <w:rPr>
          <w:rFonts w:ascii="Times New Roman" w:hAnsi="Times New Roman" w:cs="Times New Roman"/>
        </w:rPr>
        <w:t>d</w:t>
      </w:r>
      <w:r w:rsidR="00034F09" w:rsidRPr="00652D51">
        <w:rPr>
          <w:rFonts w:ascii="Times New Roman" w:hAnsi="Times New Roman" w:cs="Times New Roman"/>
        </w:rPr>
        <w:t>ecision</w:t>
      </w:r>
      <w:r w:rsidR="0004424C">
        <w:rPr>
          <w:rFonts w:ascii="Times New Roman" w:hAnsi="Times New Roman" w:cs="Times New Roman"/>
        </w:rPr>
        <w:t xml:space="preserve"> is notable for two things. </w:t>
      </w:r>
      <w:r w:rsidRPr="00652D51">
        <w:rPr>
          <w:rFonts w:ascii="Times New Roman" w:hAnsi="Times New Roman" w:cs="Times New Roman"/>
        </w:rPr>
        <w:t xml:space="preserve">First, the </w:t>
      </w:r>
      <w:r w:rsidR="0004424C">
        <w:rPr>
          <w:rFonts w:ascii="Times New Roman" w:hAnsi="Times New Roman" w:cs="Times New Roman"/>
        </w:rPr>
        <w:t>d</w:t>
      </w:r>
      <w:r w:rsidR="00034F09" w:rsidRPr="00652D51">
        <w:rPr>
          <w:rFonts w:ascii="Times New Roman" w:hAnsi="Times New Roman" w:cs="Times New Roman"/>
        </w:rPr>
        <w:t>ecision</w:t>
      </w:r>
      <w:r w:rsidRPr="00652D51">
        <w:rPr>
          <w:rFonts w:ascii="Times New Roman" w:hAnsi="Times New Roman" w:cs="Times New Roman"/>
        </w:rPr>
        <w:t xml:space="preserve"> includes </w:t>
      </w:r>
      <w:r w:rsidR="00FE671A" w:rsidRPr="00652D51">
        <w:rPr>
          <w:rFonts w:ascii="Times New Roman" w:hAnsi="Times New Roman" w:cs="Times New Roman"/>
        </w:rPr>
        <w:t xml:space="preserve">an impressive </w:t>
      </w:r>
      <w:r w:rsidRPr="00652D51">
        <w:rPr>
          <w:rFonts w:ascii="Times New Roman" w:hAnsi="Times New Roman" w:cs="Times New Roman"/>
        </w:rPr>
        <w:t>drawing depict</w:t>
      </w:r>
      <w:r w:rsidR="00FE671A" w:rsidRPr="00652D51">
        <w:rPr>
          <w:rFonts w:ascii="Times New Roman" w:hAnsi="Times New Roman" w:cs="Times New Roman"/>
        </w:rPr>
        <w:t>ing</w:t>
      </w:r>
      <w:r w:rsidRPr="00652D51">
        <w:rPr>
          <w:rFonts w:ascii="Times New Roman" w:hAnsi="Times New Roman" w:cs="Times New Roman"/>
        </w:rPr>
        <w:t xml:space="preserve"> </w:t>
      </w:r>
      <w:r w:rsidR="00FE671A" w:rsidRPr="00652D51">
        <w:rPr>
          <w:rFonts w:ascii="Times New Roman" w:hAnsi="Times New Roman" w:cs="Times New Roman"/>
        </w:rPr>
        <w:t>an embodiment of a ride which</w:t>
      </w:r>
      <w:r w:rsidR="00881889" w:rsidRPr="00652D51">
        <w:rPr>
          <w:rFonts w:ascii="Times New Roman" w:hAnsi="Times New Roman" w:cs="Times New Roman"/>
        </w:rPr>
        <w:t xml:space="preserve">, as summarized by the PTAB, involves </w:t>
      </w:r>
      <w:r w:rsidR="00740E56" w:rsidRPr="00652D51">
        <w:rPr>
          <w:rFonts w:ascii="Times New Roman" w:hAnsi="Times New Roman" w:cs="Times New Roman"/>
        </w:rPr>
        <w:t xml:space="preserve">“conveyance of riders </w:t>
      </w:r>
      <w:r w:rsidR="004C4720" w:rsidRPr="00652D51">
        <w:rPr>
          <w:rFonts w:ascii="Times New Roman" w:hAnsi="Times New Roman" w:cs="Times New Roman"/>
        </w:rPr>
        <w:t>through</w:t>
      </w:r>
      <w:r w:rsidR="00740E56" w:rsidRPr="00652D51">
        <w:rPr>
          <w:rFonts w:ascii="Times New Roman" w:hAnsi="Times New Roman" w:cs="Times New Roman"/>
        </w:rPr>
        <w:t xml:space="preserve"> the air in a manner simulating flight at an </w:t>
      </w:r>
      <w:r w:rsidR="004C4720" w:rsidRPr="00652D51">
        <w:rPr>
          <w:rFonts w:ascii="Times New Roman" w:hAnsi="Times New Roman" w:cs="Times New Roman"/>
        </w:rPr>
        <w:t>elevation</w:t>
      </w:r>
      <w:r w:rsidR="00740E56" w:rsidRPr="00652D51">
        <w:rPr>
          <w:rFonts w:ascii="Times New Roman" w:hAnsi="Times New Roman" w:cs="Times New Roman"/>
        </w:rPr>
        <w:t xml:space="preserve"> sufficiently high to produce a thrilling sensation</w:t>
      </w:r>
      <w:r w:rsidR="00881889" w:rsidRPr="00652D51">
        <w:rPr>
          <w:rFonts w:ascii="Times New Roman" w:hAnsi="Times New Roman" w:cs="Times New Roman"/>
        </w:rPr>
        <w:t>”</w:t>
      </w:r>
      <w:r w:rsidR="00FE671A" w:rsidRPr="00652D51">
        <w:rPr>
          <w:rFonts w:ascii="Times New Roman" w:hAnsi="Times New Roman" w:cs="Times New Roman"/>
        </w:rPr>
        <w:t>:</w:t>
      </w:r>
    </w:p>
    <w:p w:rsidR="00FE671A" w:rsidRDefault="00FE671A" w:rsidP="00FE671A">
      <w:pPr>
        <w:jc w:val="center"/>
      </w:pPr>
      <w:r>
        <w:rPr>
          <w:noProof/>
        </w:rPr>
        <w:drawing>
          <wp:inline distT="0" distB="0" distL="0" distR="0" wp14:anchorId="30048073" wp14:editId="37C08F79">
            <wp:extent cx="2136546" cy="306186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40722" cy="3067846"/>
                    </a:xfrm>
                    <a:prstGeom prst="rect">
                      <a:avLst/>
                    </a:prstGeom>
                  </pic:spPr>
                </pic:pic>
              </a:graphicData>
            </a:graphic>
          </wp:inline>
        </w:drawing>
      </w:r>
    </w:p>
    <w:p w:rsidR="00FE671A" w:rsidRDefault="00FE671A"/>
    <w:p w:rsidR="00FE671A" w:rsidRPr="00652D51" w:rsidRDefault="00FE671A" w:rsidP="00652D51">
      <w:pPr>
        <w:spacing w:line="240" w:lineRule="auto"/>
        <w:rPr>
          <w:rFonts w:ascii="Times New Roman" w:hAnsi="Times New Roman" w:cs="Times New Roman"/>
        </w:rPr>
      </w:pPr>
      <w:r w:rsidRPr="00652D51">
        <w:rPr>
          <w:rFonts w:ascii="Times New Roman" w:hAnsi="Times New Roman" w:cs="Times New Roman"/>
        </w:rPr>
        <w:t>Second,</w:t>
      </w:r>
      <w:r w:rsidR="00654FED" w:rsidRPr="00652D51">
        <w:rPr>
          <w:rFonts w:ascii="Times New Roman" w:hAnsi="Times New Roman" w:cs="Times New Roman"/>
        </w:rPr>
        <w:t xml:space="preserve"> </w:t>
      </w:r>
      <w:r w:rsidRPr="00652D51">
        <w:rPr>
          <w:rFonts w:ascii="Times New Roman" w:hAnsi="Times New Roman" w:cs="Times New Roman"/>
        </w:rPr>
        <w:t xml:space="preserve">the </w:t>
      </w:r>
      <w:r w:rsidR="0004424C">
        <w:rPr>
          <w:rFonts w:ascii="Times New Roman" w:hAnsi="Times New Roman" w:cs="Times New Roman"/>
        </w:rPr>
        <w:t>d</w:t>
      </w:r>
      <w:r w:rsidRPr="00652D51">
        <w:rPr>
          <w:rFonts w:ascii="Times New Roman" w:hAnsi="Times New Roman" w:cs="Times New Roman"/>
        </w:rPr>
        <w:t xml:space="preserve">ecision </w:t>
      </w:r>
      <w:r w:rsidR="002A4D06" w:rsidRPr="00652D51">
        <w:rPr>
          <w:rFonts w:ascii="Times New Roman" w:hAnsi="Times New Roman" w:cs="Times New Roman"/>
        </w:rPr>
        <w:t xml:space="preserve">denied institution of trial because the </w:t>
      </w:r>
      <w:r w:rsidR="00C95519" w:rsidRPr="00652D51">
        <w:rPr>
          <w:rFonts w:ascii="Times New Roman" w:hAnsi="Times New Roman" w:cs="Times New Roman"/>
        </w:rPr>
        <w:t>p</w:t>
      </w:r>
      <w:r w:rsidR="002A4D06" w:rsidRPr="00652D51">
        <w:rPr>
          <w:rFonts w:ascii="Times New Roman" w:hAnsi="Times New Roman" w:cs="Times New Roman"/>
        </w:rPr>
        <w:t>etitioner failed to prove that a document qualified as prior art to the pat</w:t>
      </w:r>
      <w:r w:rsidR="00881889" w:rsidRPr="00652D51">
        <w:rPr>
          <w:rFonts w:ascii="Times New Roman" w:hAnsi="Times New Roman" w:cs="Times New Roman"/>
        </w:rPr>
        <w:t>ent</w:t>
      </w:r>
      <w:r w:rsidR="00A64F1E" w:rsidRPr="00652D51">
        <w:rPr>
          <w:rFonts w:ascii="Times New Roman" w:hAnsi="Times New Roman" w:cs="Times New Roman"/>
        </w:rPr>
        <w:t xml:space="preserve"> at issue</w:t>
      </w:r>
      <w:r w:rsidR="0004424C">
        <w:rPr>
          <w:rFonts w:ascii="Times New Roman" w:hAnsi="Times New Roman" w:cs="Times New Roman"/>
        </w:rPr>
        <w:t xml:space="preserve">. </w:t>
      </w:r>
      <w:r w:rsidR="009F56D3" w:rsidRPr="00652D51">
        <w:rPr>
          <w:rFonts w:ascii="Times New Roman" w:hAnsi="Times New Roman" w:cs="Times New Roman"/>
        </w:rPr>
        <w:t>T</w:t>
      </w:r>
      <w:r w:rsidR="00881889" w:rsidRPr="00652D51">
        <w:rPr>
          <w:rFonts w:ascii="Times New Roman" w:hAnsi="Times New Roman" w:cs="Times New Roman"/>
        </w:rPr>
        <w:t xml:space="preserve">he </w:t>
      </w:r>
      <w:r w:rsidR="00C95519" w:rsidRPr="00652D51">
        <w:rPr>
          <w:rFonts w:ascii="Times New Roman" w:hAnsi="Times New Roman" w:cs="Times New Roman"/>
        </w:rPr>
        <w:t>p</w:t>
      </w:r>
      <w:r w:rsidR="00881889" w:rsidRPr="00652D51">
        <w:rPr>
          <w:rFonts w:ascii="Times New Roman" w:hAnsi="Times New Roman" w:cs="Times New Roman"/>
        </w:rPr>
        <w:t xml:space="preserve">etitioner challenged claims of the patent as obvious over various combinations of references that included a </w:t>
      </w:r>
      <w:r w:rsidR="00740E56" w:rsidRPr="00652D51">
        <w:rPr>
          <w:rFonts w:ascii="Times New Roman" w:hAnsi="Times New Roman" w:cs="Times New Roman"/>
        </w:rPr>
        <w:t>one</w:t>
      </w:r>
      <w:r w:rsidR="0004424C">
        <w:rPr>
          <w:rFonts w:ascii="Times New Roman" w:hAnsi="Times New Roman" w:cs="Times New Roman"/>
        </w:rPr>
        <w:t>-</w:t>
      </w:r>
      <w:r w:rsidR="00740E56" w:rsidRPr="00652D51">
        <w:rPr>
          <w:rFonts w:ascii="Times New Roman" w:hAnsi="Times New Roman" w:cs="Times New Roman"/>
        </w:rPr>
        <w:t>page</w:t>
      </w:r>
      <w:r w:rsidR="0004424C">
        <w:rPr>
          <w:rFonts w:ascii="Times New Roman" w:hAnsi="Times New Roman" w:cs="Times New Roman"/>
        </w:rPr>
        <w:t>,</w:t>
      </w:r>
      <w:r w:rsidR="00740E56" w:rsidRPr="00652D51">
        <w:rPr>
          <w:rFonts w:ascii="Times New Roman" w:hAnsi="Times New Roman" w:cs="Times New Roman"/>
        </w:rPr>
        <w:t xml:space="preserve"> undated document depicting a ride known as</w:t>
      </w:r>
      <w:r w:rsidR="00654FED" w:rsidRPr="00652D51">
        <w:rPr>
          <w:rFonts w:ascii="Times New Roman" w:hAnsi="Times New Roman" w:cs="Times New Roman"/>
        </w:rPr>
        <w:t xml:space="preserve"> the</w:t>
      </w:r>
      <w:r w:rsidR="00740E56" w:rsidRPr="00652D51">
        <w:rPr>
          <w:rFonts w:ascii="Times New Roman" w:hAnsi="Times New Roman" w:cs="Times New Roman"/>
        </w:rPr>
        <w:t xml:space="preserve"> “Barnstormer.”</w:t>
      </w:r>
      <w:r w:rsidR="0004424C">
        <w:rPr>
          <w:rFonts w:ascii="Times New Roman" w:hAnsi="Times New Roman" w:cs="Times New Roman"/>
        </w:rPr>
        <w:t xml:space="preserve"> </w:t>
      </w:r>
      <w:r w:rsidR="00C95519" w:rsidRPr="00652D51">
        <w:rPr>
          <w:rFonts w:ascii="Times New Roman" w:hAnsi="Times New Roman" w:cs="Times New Roman"/>
        </w:rPr>
        <w:t>The p</w:t>
      </w:r>
      <w:r w:rsidR="004261FA" w:rsidRPr="00652D51">
        <w:rPr>
          <w:rFonts w:ascii="Times New Roman" w:hAnsi="Times New Roman" w:cs="Times New Roman"/>
        </w:rPr>
        <w:t xml:space="preserve">etitioner also </w:t>
      </w:r>
      <w:r w:rsidR="00C95519" w:rsidRPr="00652D51">
        <w:rPr>
          <w:rFonts w:ascii="Times New Roman" w:hAnsi="Times New Roman" w:cs="Times New Roman"/>
        </w:rPr>
        <w:t xml:space="preserve">submitted a declaration and </w:t>
      </w:r>
      <w:r w:rsidR="004261FA" w:rsidRPr="00652D51">
        <w:rPr>
          <w:rFonts w:ascii="Times New Roman" w:hAnsi="Times New Roman" w:cs="Times New Roman"/>
        </w:rPr>
        <w:t xml:space="preserve">argued that </w:t>
      </w:r>
      <w:r w:rsidR="00C95519" w:rsidRPr="00652D51">
        <w:rPr>
          <w:rFonts w:ascii="Times New Roman" w:hAnsi="Times New Roman" w:cs="Times New Roman"/>
        </w:rPr>
        <w:t>the</w:t>
      </w:r>
      <w:r w:rsidR="004261FA" w:rsidRPr="00652D51">
        <w:rPr>
          <w:rFonts w:ascii="Times New Roman" w:hAnsi="Times New Roman" w:cs="Times New Roman"/>
        </w:rPr>
        <w:t xml:space="preserve"> declaration dated the Barnstormer document before the filing date of the patent</w:t>
      </w:r>
      <w:r w:rsidR="00724BD9" w:rsidRPr="00652D51">
        <w:rPr>
          <w:rFonts w:ascii="Times New Roman" w:hAnsi="Times New Roman" w:cs="Times New Roman"/>
        </w:rPr>
        <w:t xml:space="preserve"> at issue</w:t>
      </w:r>
      <w:r w:rsidR="004261FA" w:rsidRPr="00652D51">
        <w:rPr>
          <w:rFonts w:ascii="Times New Roman" w:hAnsi="Times New Roman" w:cs="Times New Roman"/>
        </w:rPr>
        <w:t>.</w:t>
      </w:r>
    </w:p>
    <w:p w:rsidR="004261FA" w:rsidRPr="00652D51" w:rsidRDefault="004261FA" w:rsidP="00652D51">
      <w:pPr>
        <w:spacing w:line="240" w:lineRule="auto"/>
        <w:rPr>
          <w:rFonts w:ascii="Times New Roman" w:hAnsi="Times New Roman" w:cs="Times New Roman"/>
        </w:rPr>
      </w:pPr>
    </w:p>
    <w:p w:rsidR="004261FA" w:rsidRPr="00652D51" w:rsidRDefault="004261FA" w:rsidP="00652D51">
      <w:pPr>
        <w:spacing w:line="240" w:lineRule="auto"/>
        <w:rPr>
          <w:rFonts w:ascii="Times New Roman" w:hAnsi="Times New Roman" w:cs="Times New Roman"/>
        </w:rPr>
      </w:pPr>
      <w:r w:rsidRPr="00652D51">
        <w:rPr>
          <w:rFonts w:ascii="Times New Roman" w:hAnsi="Times New Roman" w:cs="Times New Roman"/>
        </w:rPr>
        <w:t xml:space="preserve">The PTAB noted that, in fact, the declaration did not identify any date for the </w:t>
      </w:r>
      <w:r w:rsidR="004C4720" w:rsidRPr="00652D51">
        <w:rPr>
          <w:rFonts w:ascii="Times New Roman" w:hAnsi="Times New Roman" w:cs="Times New Roman"/>
        </w:rPr>
        <w:t>Barnstormer</w:t>
      </w:r>
      <w:r w:rsidRPr="00652D51">
        <w:rPr>
          <w:rFonts w:ascii="Times New Roman" w:hAnsi="Times New Roman" w:cs="Times New Roman"/>
        </w:rPr>
        <w:t xml:space="preserve"> document, and that no date appeared on the face of the document.</w:t>
      </w:r>
      <w:r w:rsidR="001F3E34">
        <w:rPr>
          <w:rFonts w:ascii="Times New Roman" w:hAnsi="Times New Roman" w:cs="Times New Roman"/>
        </w:rPr>
        <w:t xml:space="preserve"> </w:t>
      </w:r>
      <w:r w:rsidR="00C95519" w:rsidRPr="00652D51">
        <w:rPr>
          <w:rFonts w:ascii="Times New Roman" w:hAnsi="Times New Roman" w:cs="Times New Roman"/>
        </w:rPr>
        <w:t>The PTAB also noted that the p</w:t>
      </w:r>
      <w:r w:rsidRPr="00652D51">
        <w:rPr>
          <w:rFonts w:ascii="Times New Roman" w:hAnsi="Times New Roman" w:cs="Times New Roman"/>
        </w:rPr>
        <w:t xml:space="preserve">etitioner </w:t>
      </w:r>
      <w:r w:rsidR="004C4720" w:rsidRPr="00652D51">
        <w:rPr>
          <w:rFonts w:ascii="Times New Roman" w:hAnsi="Times New Roman" w:cs="Times New Roman"/>
        </w:rPr>
        <w:t>provided</w:t>
      </w:r>
      <w:r w:rsidRPr="00652D51">
        <w:rPr>
          <w:rFonts w:ascii="Times New Roman" w:hAnsi="Times New Roman" w:cs="Times New Roman"/>
        </w:rPr>
        <w:t xml:space="preserve"> virtually no argument or evidence in support of a conclusion that the Barnstormer document was a printed publication available as prior art to the patent</w:t>
      </w:r>
      <w:r w:rsidR="00E209F3" w:rsidRPr="00652D51">
        <w:rPr>
          <w:rFonts w:ascii="Times New Roman" w:hAnsi="Times New Roman" w:cs="Times New Roman"/>
        </w:rPr>
        <w:t xml:space="preserve"> at issue</w:t>
      </w:r>
      <w:r w:rsidRPr="00652D51">
        <w:rPr>
          <w:rFonts w:ascii="Times New Roman" w:hAnsi="Times New Roman" w:cs="Times New Roman"/>
        </w:rPr>
        <w:t>.</w:t>
      </w:r>
    </w:p>
    <w:p w:rsidR="004261FA" w:rsidRDefault="004261FA" w:rsidP="00652D51">
      <w:pPr>
        <w:spacing w:line="240" w:lineRule="auto"/>
      </w:pPr>
    </w:p>
    <w:p w:rsidR="004261FA" w:rsidRPr="00652D51" w:rsidRDefault="004261FA" w:rsidP="00652D51">
      <w:pPr>
        <w:spacing w:line="240" w:lineRule="auto"/>
        <w:rPr>
          <w:rFonts w:ascii="Times New Roman" w:hAnsi="Times New Roman" w:cs="Times New Roman"/>
        </w:rPr>
      </w:pPr>
      <w:r w:rsidRPr="00652D51">
        <w:rPr>
          <w:rFonts w:ascii="Times New Roman" w:hAnsi="Times New Roman" w:cs="Times New Roman"/>
        </w:rPr>
        <w:t>As indicated by the PTAB, the key inquiry was whether the Barnstormer document was made “sufficiently accessible to the public interested in the art” before the relevant date, and that “[a] given reference is ‘publicly accessible’ upon a satisfactory showing that such document has been disseminated or otherwise m</w:t>
      </w:r>
      <w:r w:rsidR="00CC4DFD" w:rsidRPr="00652D51">
        <w:rPr>
          <w:rFonts w:ascii="Times New Roman" w:hAnsi="Times New Roman" w:cs="Times New Roman"/>
        </w:rPr>
        <w:t>a</w:t>
      </w:r>
      <w:r w:rsidRPr="00652D51">
        <w:rPr>
          <w:rFonts w:ascii="Times New Roman" w:hAnsi="Times New Roman" w:cs="Times New Roman"/>
        </w:rPr>
        <w:t xml:space="preserve">de available to the extent that persons interested and ordinarily skilled in the subject matter </w:t>
      </w:r>
      <w:r w:rsidR="00CC4DFD" w:rsidRPr="00652D51">
        <w:rPr>
          <w:rFonts w:ascii="Times New Roman" w:hAnsi="Times New Roman" w:cs="Times New Roman"/>
        </w:rPr>
        <w:t xml:space="preserve">or art exercising reasonable </w:t>
      </w:r>
      <w:r w:rsidR="004C4720" w:rsidRPr="00652D51">
        <w:rPr>
          <w:rFonts w:ascii="Times New Roman" w:hAnsi="Times New Roman" w:cs="Times New Roman"/>
        </w:rPr>
        <w:t>diligence</w:t>
      </w:r>
      <w:r w:rsidR="001F3E34">
        <w:rPr>
          <w:rFonts w:ascii="Times New Roman" w:hAnsi="Times New Roman" w:cs="Times New Roman"/>
        </w:rPr>
        <w:t xml:space="preserve">, can locate it.” </w:t>
      </w:r>
      <w:r w:rsidR="00CC4DFD" w:rsidRPr="00652D51">
        <w:rPr>
          <w:rFonts w:ascii="Times New Roman" w:hAnsi="Times New Roman" w:cs="Times New Roman"/>
        </w:rPr>
        <w:t xml:space="preserve">Although </w:t>
      </w:r>
      <w:r w:rsidR="00601F1F" w:rsidRPr="00652D51">
        <w:rPr>
          <w:rFonts w:ascii="Times New Roman" w:hAnsi="Times New Roman" w:cs="Times New Roman"/>
        </w:rPr>
        <w:t>the PTAB acknowledged that the p</w:t>
      </w:r>
      <w:r w:rsidR="00CC4DFD" w:rsidRPr="00652D51">
        <w:rPr>
          <w:rFonts w:ascii="Times New Roman" w:hAnsi="Times New Roman" w:cs="Times New Roman"/>
        </w:rPr>
        <w:t xml:space="preserve">etitioner provided evidence that the Barnstormer </w:t>
      </w:r>
      <w:r w:rsidR="00CC4DFD" w:rsidRPr="00652D51">
        <w:rPr>
          <w:rFonts w:ascii="Times New Roman" w:hAnsi="Times New Roman" w:cs="Times New Roman"/>
          <w:i/>
        </w:rPr>
        <w:t>ride</w:t>
      </w:r>
      <w:r w:rsidR="00CC4DFD" w:rsidRPr="00652D51">
        <w:rPr>
          <w:rFonts w:ascii="Times New Roman" w:hAnsi="Times New Roman" w:cs="Times New Roman"/>
        </w:rPr>
        <w:t xml:space="preserve"> was operated and available to the public before the relevant</w:t>
      </w:r>
      <w:r w:rsidR="00F34987" w:rsidRPr="00652D51">
        <w:rPr>
          <w:rFonts w:ascii="Times New Roman" w:hAnsi="Times New Roman" w:cs="Times New Roman"/>
        </w:rPr>
        <w:t xml:space="preserve"> date, the PTAB found that the p</w:t>
      </w:r>
      <w:r w:rsidR="00CC4DFD" w:rsidRPr="00652D51">
        <w:rPr>
          <w:rFonts w:ascii="Times New Roman" w:hAnsi="Times New Roman" w:cs="Times New Roman"/>
        </w:rPr>
        <w:t>etitioner offered no evidence of a da</w:t>
      </w:r>
      <w:r w:rsidR="00C41E8C" w:rsidRPr="00652D51">
        <w:rPr>
          <w:rFonts w:ascii="Times New Roman" w:hAnsi="Times New Roman" w:cs="Times New Roman"/>
        </w:rPr>
        <w:t xml:space="preserve">te when the Barnstormer </w:t>
      </w:r>
      <w:r w:rsidR="00C41E8C" w:rsidRPr="00652D51">
        <w:rPr>
          <w:rFonts w:ascii="Times New Roman" w:hAnsi="Times New Roman" w:cs="Times New Roman"/>
          <w:i/>
        </w:rPr>
        <w:t>document</w:t>
      </w:r>
      <w:r w:rsidR="00C41E8C" w:rsidRPr="00652D51">
        <w:rPr>
          <w:rFonts w:ascii="Times New Roman" w:hAnsi="Times New Roman" w:cs="Times New Roman"/>
        </w:rPr>
        <w:t xml:space="preserve"> was a publication, and no evidence that the Barnstormer document was disseminated or otherwise</w:t>
      </w:r>
      <w:r w:rsidR="00BA26B3" w:rsidRPr="00652D51">
        <w:rPr>
          <w:rFonts w:ascii="Times New Roman" w:hAnsi="Times New Roman" w:cs="Times New Roman"/>
        </w:rPr>
        <w:t xml:space="preserve"> made</w:t>
      </w:r>
      <w:r w:rsidR="00C41E8C" w:rsidRPr="00652D51">
        <w:rPr>
          <w:rFonts w:ascii="Times New Roman" w:hAnsi="Times New Roman" w:cs="Times New Roman"/>
        </w:rPr>
        <w:t xml:space="preserve"> available such that relevant persons could locate it.</w:t>
      </w:r>
    </w:p>
    <w:p w:rsidR="00C41E8C" w:rsidRPr="00652D51" w:rsidRDefault="00C41E8C" w:rsidP="00652D51">
      <w:pPr>
        <w:spacing w:line="240" w:lineRule="auto"/>
        <w:rPr>
          <w:rFonts w:ascii="Times New Roman" w:hAnsi="Times New Roman" w:cs="Times New Roman"/>
        </w:rPr>
      </w:pPr>
    </w:p>
    <w:p w:rsidR="00C41E8C" w:rsidRPr="00652D51" w:rsidRDefault="00C41E8C" w:rsidP="00652D51">
      <w:pPr>
        <w:spacing w:line="240" w:lineRule="auto"/>
        <w:rPr>
          <w:rFonts w:ascii="Times New Roman" w:hAnsi="Times New Roman" w:cs="Times New Roman"/>
        </w:rPr>
      </w:pPr>
      <w:r w:rsidRPr="00652D51">
        <w:rPr>
          <w:rFonts w:ascii="Times New Roman" w:hAnsi="Times New Roman" w:cs="Times New Roman"/>
        </w:rPr>
        <w:t xml:space="preserve">This </w:t>
      </w:r>
      <w:r w:rsidR="001F3E34">
        <w:rPr>
          <w:rFonts w:ascii="Times New Roman" w:hAnsi="Times New Roman" w:cs="Times New Roman"/>
        </w:rPr>
        <w:t>d</w:t>
      </w:r>
      <w:r w:rsidRPr="00652D51">
        <w:rPr>
          <w:rFonts w:ascii="Times New Roman" w:hAnsi="Times New Roman" w:cs="Times New Roman"/>
        </w:rPr>
        <w:t xml:space="preserve">ecision </w:t>
      </w:r>
      <w:r w:rsidR="00654FED" w:rsidRPr="00652D51">
        <w:rPr>
          <w:rFonts w:ascii="Times New Roman" w:hAnsi="Times New Roman" w:cs="Times New Roman"/>
        </w:rPr>
        <w:t xml:space="preserve">highlights the importance of </w:t>
      </w:r>
      <w:r w:rsidR="00F34987" w:rsidRPr="00652D51">
        <w:rPr>
          <w:rFonts w:ascii="Times New Roman" w:hAnsi="Times New Roman" w:cs="Times New Roman"/>
        </w:rPr>
        <w:t>a</w:t>
      </w:r>
      <w:r w:rsidR="00654FED" w:rsidRPr="00652D51">
        <w:rPr>
          <w:rFonts w:ascii="Times New Roman" w:hAnsi="Times New Roman" w:cs="Times New Roman"/>
        </w:rPr>
        <w:t xml:space="preserve"> </w:t>
      </w:r>
      <w:r w:rsidR="00F34987" w:rsidRPr="00652D51">
        <w:rPr>
          <w:rFonts w:ascii="Times New Roman" w:hAnsi="Times New Roman" w:cs="Times New Roman"/>
        </w:rPr>
        <w:t>p</w:t>
      </w:r>
      <w:r w:rsidR="00654FED" w:rsidRPr="00652D51">
        <w:rPr>
          <w:rFonts w:ascii="Times New Roman" w:hAnsi="Times New Roman" w:cs="Times New Roman"/>
        </w:rPr>
        <w:t xml:space="preserve">etitioner </w:t>
      </w:r>
      <w:r w:rsidR="00E216D4" w:rsidRPr="00652D51">
        <w:rPr>
          <w:rFonts w:ascii="Times New Roman" w:hAnsi="Times New Roman" w:cs="Times New Roman"/>
        </w:rPr>
        <w:t>satisfying</w:t>
      </w:r>
      <w:r w:rsidR="00654FED" w:rsidRPr="00652D51">
        <w:rPr>
          <w:rFonts w:ascii="Times New Roman" w:hAnsi="Times New Roman" w:cs="Times New Roman"/>
        </w:rPr>
        <w:t xml:space="preserve"> its burden to prove a non-patent document is, in fact, a printed publication under 35 U.S.C. </w:t>
      </w:r>
      <w:r w:rsidR="001F3E34">
        <w:rPr>
          <w:rFonts w:ascii="Times New Roman" w:hAnsi="Times New Roman" w:cs="Times New Roman"/>
        </w:rPr>
        <w:t>§ 102.</w:t>
      </w:r>
      <w:r w:rsidR="00654FED" w:rsidRPr="00652D51">
        <w:rPr>
          <w:rFonts w:ascii="Times New Roman" w:hAnsi="Times New Roman" w:cs="Times New Roman"/>
        </w:rPr>
        <w:t xml:space="preserve"> The </w:t>
      </w:r>
      <w:r w:rsidR="001F3E34">
        <w:rPr>
          <w:rFonts w:ascii="Times New Roman" w:hAnsi="Times New Roman" w:cs="Times New Roman"/>
        </w:rPr>
        <w:t>d</w:t>
      </w:r>
      <w:r w:rsidR="00654FED" w:rsidRPr="00652D51">
        <w:rPr>
          <w:rFonts w:ascii="Times New Roman" w:hAnsi="Times New Roman" w:cs="Times New Roman"/>
        </w:rPr>
        <w:t xml:space="preserve">ecision </w:t>
      </w:r>
      <w:r w:rsidRPr="00652D51">
        <w:rPr>
          <w:rFonts w:ascii="Times New Roman" w:hAnsi="Times New Roman" w:cs="Times New Roman"/>
        </w:rPr>
        <w:t xml:space="preserve">also highlights one of the limitations of the </w:t>
      </w:r>
      <w:r w:rsidRPr="00652D51">
        <w:rPr>
          <w:rFonts w:ascii="Times New Roman" w:hAnsi="Times New Roman" w:cs="Times New Roman"/>
          <w:i/>
        </w:rPr>
        <w:t>inter partes</w:t>
      </w:r>
      <w:r w:rsidR="001F3E34">
        <w:rPr>
          <w:rFonts w:ascii="Times New Roman" w:hAnsi="Times New Roman" w:cs="Times New Roman"/>
        </w:rPr>
        <w:t xml:space="preserve"> review procedure. </w:t>
      </w:r>
      <w:r w:rsidRPr="00652D51">
        <w:rPr>
          <w:rFonts w:ascii="Times New Roman" w:hAnsi="Times New Roman" w:cs="Times New Roman"/>
        </w:rPr>
        <w:t xml:space="preserve">In particular, an </w:t>
      </w:r>
      <w:r w:rsidRPr="00652D51">
        <w:rPr>
          <w:rFonts w:ascii="Times New Roman" w:hAnsi="Times New Roman" w:cs="Times New Roman"/>
          <w:i/>
        </w:rPr>
        <w:t>inter partes</w:t>
      </w:r>
      <w:r w:rsidRPr="00652D51">
        <w:rPr>
          <w:rFonts w:ascii="Times New Roman" w:hAnsi="Times New Roman" w:cs="Times New Roman"/>
        </w:rPr>
        <w:t xml:space="preserve"> review can only be instituted on the basis of prior art consisting of p</w:t>
      </w:r>
      <w:r w:rsidR="001F3E34">
        <w:rPr>
          <w:rFonts w:ascii="Times New Roman" w:hAnsi="Times New Roman" w:cs="Times New Roman"/>
        </w:rPr>
        <w:t>atents or printed publications.</w:t>
      </w:r>
      <w:r w:rsidRPr="00652D51">
        <w:rPr>
          <w:rFonts w:ascii="Times New Roman" w:hAnsi="Times New Roman" w:cs="Times New Roman"/>
        </w:rPr>
        <w:t xml:space="preserve"> Other types of prior art such as p</w:t>
      </w:r>
      <w:r w:rsidR="001F3E34">
        <w:rPr>
          <w:rFonts w:ascii="Times New Roman" w:hAnsi="Times New Roman" w:cs="Times New Roman"/>
        </w:rPr>
        <w:t xml:space="preserve">rior public use is not enough. </w:t>
      </w:r>
      <w:r w:rsidRPr="00652D51">
        <w:rPr>
          <w:rFonts w:ascii="Times New Roman" w:hAnsi="Times New Roman" w:cs="Times New Roman"/>
        </w:rPr>
        <w:t xml:space="preserve">As can be seen by comparing </w:t>
      </w:r>
      <w:r w:rsidR="00CB274A" w:rsidRPr="00652D51">
        <w:rPr>
          <w:rFonts w:ascii="Times New Roman" w:hAnsi="Times New Roman" w:cs="Times New Roman"/>
        </w:rPr>
        <w:t>an</w:t>
      </w:r>
      <w:r w:rsidRPr="00652D51">
        <w:rPr>
          <w:rFonts w:ascii="Times New Roman" w:hAnsi="Times New Roman" w:cs="Times New Roman"/>
        </w:rPr>
        <w:t xml:space="preserve"> image from the Barnstormer document</w:t>
      </w:r>
      <w:r w:rsidR="00CB274A" w:rsidRPr="00652D51">
        <w:rPr>
          <w:rFonts w:ascii="Times New Roman" w:hAnsi="Times New Roman" w:cs="Times New Roman"/>
        </w:rPr>
        <w:t xml:space="preserve"> (below left)</w:t>
      </w:r>
      <w:r w:rsidR="001F3E34">
        <w:rPr>
          <w:rFonts w:ascii="Times New Roman" w:hAnsi="Times New Roman" w:cs="Times New Roman"/>
        </w:rPr>
        <w:t>,</w:t>
      </w:r>
      <w:r w:rsidR="00CB274A" w:rsidRPr="00652D51">
        <w:rPr>
          <w:rFonts w:ascii="Times New Roman" w:hAnsi="Times New Roman" w:cs="Times New Roman"/>
        </w:rPr>
        <w:t xml:space="preserve"> and an image from the declaration submitted by the petitioner (below right),</w:t>
      </w:r>
    </w:p>
    <w:p w:rsidR="00C41E8C" w:rsidRPr="00652D51" w:rsidRDefault="00C41E8C" w:rsidP="00652D51">
      <w:pPr>
        <w:spacing w:line="240" w:lineRule="auto"/>
        <w:rPr>
          <w:rFonts w:ascii="Times New Roman" w:hAnsi="Times New Roman" w:cs="Times New Roman"/>
        </w:rPr>
      </w:pPr>
    </w:p>
    <w:p w:rsidR="00C41E8C" w:rsidRDefault="00C41E8C" w:rsidP="00C41E8C">
      <w:pPr>
        <w:jc w:val="center"/>
      </w:pPr>
      <w:r>
        <w:rPr>
          <w:noProof/>
        </w:rPr>
        <w:drawing>
          <wp:inline distT="0" distB="0" distL="0" distR="0" wp14:anchorId="78552DE7" wp14:editId="76CEFE29">
            <wp:extent cx="2407641" cy="2862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06822" cy="2861445"/>
                    </a:xfrm>
                    <a:prstGeom prst="rect">
                      <a:avLst/>
                    </a:prstGeom>
                  </pic:spPr>
                </pic:pic>
              </a:graphicData>
            </a:graphic>
          </wp:inline>
        </w:drawing>
      </w:r>
      <w:r>
        <w:rPr>
          <w:noProof/>
        </w:rPr>
        <w:drawing>
          <wp:inline distT="0" distB="0" distL="0" distR="0" wp14:anchorId="7DF965D9" wp14:editId="63C538E1">
            <wp:extent cx="1593908" cy="2887786"/>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97418" cy="2894146"/>
                    </a:xfrm>
                    <a:prstGeom prst="rect">
                      <a:avLst/>
                    </a:prstGeom>
                  </pic:spPr>
                </pic:pic>
              </a:graphicData>
            </a:graphic>
          </wp:inline>
        </w:drawing>
      </w:r>
    </w:p>
    <w:p w:rsidR="00C41E8C" w:rsidRDefault="00C41E8C"/>
    <w:p w:rsidR="006F34FF" w:rsidRDefault="006F34FF" w:rsidP="00454B77">
      <w:pPr>
        <w:spacing w:line="240" w:lineRule="auto"/>
        <w:rPr>
          <w:rFonts w:ascii="Times New Roman" w:hAnsi="Times New Roman" w:cs="Times New Roman"/>
        </w:rPr>
      </w:pPr>
      <w:r w:rsidRPr="00652D51">
        <w:rPr>
          <w:rFonts w:ascii="Times New Roman" w:hAnsi="Times New Roman" w:cs="Times New Roman"/>
        </w:rPr>
        <w:lastRenderedPageBreak/>
        <w:t>the public use prior art and the Barnstormer document appear to show the same thing</w:t>
      </w:r>
      <w:r w:rsidR="00520DB3" w:rsidRPr="00652D51">
        <w:rPr>
          <w:rFonts w:ascii="Times New Roman" w:hAnsi="Times New Roman" w:cs="Times New Roman"/>
        </w:rPr>
        <w:t>, yet the Barnstormer document failed to constitute a printed publication</w:t>
      </w:r>
      <w:r w:rsidR="002F038F" w:rsidRPr="00652D51">
        <w:rPr>
          <w:rFonts w:ascii="Times New Roman" w:hAnsi="Times New Roman" w:cs="Times New Roman"/>
        </w:rPr>
        <w:t>,</w:t>
      </w:r>
      <w:r w:rsidR="00520DB3" w:rsidRPr="00652D51">
        <w:rPr>
          <w:rFonts w:ascii="Times New Roman" w:hAnsi="Times New Roman" w:cs="Times New Roman"/>
        </w:rPr>
        <w:t xml:space="preserve"> </w:t>
      </w:r>
      <w:r w:rsidR="002F038F" w:rsidRPr="00652D51">
        <w:rPr>
          <w:rFonts w:ascii="Times New Roman" w:hAnsi="Times New Roman" w:cs="Times New Roman"/>
        </w:rPr>
        <w:t>so</w:t>
      </w:r>
      <w:r w:rsidR="00520DB3" w:rsidRPr="00652D51">
        <w:rPr>
          <w:rFonts w:ascii="Times New Roman" w:hAnsi="Times New Roman" w:cs="Times New Roman"/>
        </w:rPr>
        <w:t xml:space="preserve"> the petition to institute </w:t>
      </w:r>
      <w:r w:rsidR="004F7F44" w:rsidRPr="00652D51">
        <w:rPr>
          <w:rFonts w:ascii="Times New Roman" w:hAnsi="Times New Roman" w:cs="Times New Roman"/>
        </w:rPr>
        <w:t>an</w:t>
      </w:r>
      <w:r w:rsidR="00520DB3" w:rsidRPr="00652D51">
        <w:rPr>
          <w:rFonts w:ascii="Times New Roman" w:hAnsi="Times New Roman" w:cs="Times New Roman"/>
        </w:rPr>
        <w:t xml:space="preserve"> </w:t>
      </w:r>
      <w:r w:rsidR="00520DB3" w:rsidRPr="00652D51">
        <w:rPr>
          <w:rFonts w:ascii="Times New Roman" w:hAnsi="Times New Roman" w:cs="Times New Roman"/>
          <w:i/>
        </w:rPr>
        <w:t>inter partes</w:t>
      </w:r>
      <w:r w:rsidR="00520DB3" w:rsidRPr="00652D51">
        <w:rPr>
          <w:rFonts w:ascii="Times New Roman" w:hAnsi="Times New Roman" w:cs="Times New Roman"/>
        </w:rPr>
        <w:t xml:space="preserve"> review trial was denied</w:t>
      </w:r>
      <w:r w:rsidRPr="00652D51">
        <w:rPr>
          <w:rFonts w:ascii="Times New Roman" w:hAnsi="Times New Roman" w:cs="Times New Roman"/>
        </w:rPr>
        <w:t>.</w:t>
      </w:r>
    </w:p>
    <w:p w:rsidR="00454B77" w:rsidRPr="00454B77" w:rsidRDefault="00454B77" w:rsidP="00454B77">
      <w:pPr>
        <w:spacing w:line="240" w:lineRule="auto"/>
        <w:rPr>
          <w:rFonts w:ascii="Times New Roman" w:hAnsi="Times New Roman" w:cs="Times New Roman"/>
        </w:rPr>
      </w:pPr>
    </w:p>
    <w:p w:rsidR="00652D51" w:rsidRPr="00652D51" w:rsidRDefault="00652D51" w:rsidP="00652D51">
      <w:pPr>
        <w:spacing w:line="240" w:lineRule="auto"/>
        <w:jc w:val="center"/>
        <w:rPr>
          <w:rFonts w:ascii="Times New Roman" w:eastAsia="Times New Roman" w:hAnsi="Times New Roman" w:cs="Times New Roman"/>
          <w:i/>
          <w:color w:val="000000"/>
          <w:sz w:val="20"/>
          <w:szCs w:val="20"/>
        </w:rPr>
      </w:pPr>
      <w:r w:rsidRPr="00652D51">
        <w:rPr>
          <w:rFonts w:ascii="Times New Roman" w:eastAsia="Times New Roman" w:hAnsi="Times New Roman" w:cs="Times New Roman"/>
          <w:i/>
          <w:color w:val="000000"/>
          <w:sz w:val="20"/>
          <w:szCs w:val="20"/>
        </w:rPr>
        <w:t>The Leahy-Smith America Invents Act established new patent post-issuance proceedings, including the inter partes review, post grant review and transitional program for covered business method patents, that offer a less costly, streamlined alternative to district court litigation. With the U.S. Patent and Trademark Office’s Patent Trial and Appeal Board conducting a large and increasing number of these proceedings, and with the law developing rapidly, Banner &amp; Witcoff will offer weekly summaries of the board’s significant decisions and subsequent appeals at the U.S. Court of Appeals for the Federal Circuit.</w:t>
      </w:r>
    </w:p>
    <w:p w:rsidR="00652D51" w:rsidRPr="00652D51" w:rsidRDefault="00652D51" w:rsidP="00652D51">
      <w:pPr>
        <w:spacing w:line="240" w:lineRule="auto"/>
        <w:jc w:val="center"/>
        <w:rPr>
          <w:rFonts w:ascii="Times New Roman" w:eastAsia="Times New Roman" w:hAnsi="Times New Roman" w:cs="Times New Roman"/>
          <w:color w:val="0000FF"/>
          <w:sz w:val="20"/>
          <w:szCs w:val="20"/>
          <w:u w:val="single"/>
        </w:rPr>
      </w:pPr>
    </w:p>
    <w:p w:rsidR="00652D51" w:rsidRPr="00652D51" w:rsidRDefault="00652D51" w:rsidP="00652D51">
      <w:pPr>
        <w:spacing w:line="240" w:lineRule="auto"/>
        <w:jc w:val="center"/>
        <w:rPr>
          <w:rFonts w:ascii="Times New Roman" w:eastAsia="Times New Roman" w:hAnsi="Times New Roman" w:cs="Times New Roman"/>
          <w:color w:val="0000FF"/>
          <w:sz w:val="20"/>
          <w:szCs w:val="20"/>
          <w:u w:val="single"/>
        </w:rPr>
      </w:pPr>
      <w:r w:rsidRPr="00652D51">
        <w:rPr>
          <w:rFonts w:ascii="Times New Roman" w:eastAsia="Times New Roman" w:hAnsi="Times New Roman" w:cs="Times New Roman"/>
          <w:noProof/>
        </w:rPr>
        <w:drawing>
          <wp:anchor distT="0" distB="0" distL="114300" distR="114300" simplePos="0" relativeHeight="251659264" behindDoc="0" locked="0" layoutInCell="1" allowOverlap="1" wp14:anchorId="2024041B" wp14:editId="20BE36A9">
            <wp:simplePos x="0" y="0"/>
            <wp:positionH relativeFrom="column">
              <wp:posOffset>1371600</wp:posOffset>
            </wp:positionH>
            <wp:positionV relativeFrom="paragraph">
              <wp:posOffset>19050</wp:posOffset>
            </wp:positionV>
            <wp:extent cx="2895600" cy="518160"/>
            <wp:effectExtent l="0" t="0" r="0" b="0"/>
            <wp:wrapSquare wrapText="right"/>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D51">
        <w:rPr>
          <w:rFonts w:ascii="Times New Roman" w:eastAsia="Times New Roman" w:hAnsi="Times New Roman" w:cs="Times New Roman"/>
          <w:color w:val="0000FF"/>
          <w:sz w:val="20"/>
          <w:szCs w:val="20"/>
          <w:u w:val="single"/>
        </w:rPr>
        <w:br w:type="textWrapping" w:clear="all"/>
      </w:r>
    </w:p>
    <w:p w:rsidR="00652D51" w:rsidRPr="00652D51" w:rsidRDefault="00652D51" w:rsidP="00652D51">
      <w:pPr>
        <w:spacing w:line="240" w:lineRule="auto"/>
        <w:jc w:val="center"/>
        <w:rPr>
          <w:rFonts w:ascii="Times New Roman" w:eastAsia="Times New Roman" w:hAnsi="Times New Roman" w:cs="Times New Roman"/>
          <w:color w:val="0000FF"/>
          <w:sz w:val="18"/>
          <w:szCs w:val="18"/>
          <w:u w:val="single"/>
        </w:rPr>
      </w:pPr>
      <w:r w:rsidRPr="00652D51">
        <w:rPr>
          <w:rFonts w:ascii="Times New Roman" w:eastAsia="Times New Roman" w:hAnsi="Times New Roman" w:cs="Times New Roman"/>
          <w:color w:val="0000FF"/>
          <w:sz w:val="18"/>
          <w:szCs w:val="18"/>
          <w:u w:val="single"/>
        </w:rPr>
        <w:t>www.bannerwitcoff.com</w:t>
      </w:r>
    </w:p>
    <w:p w:rsidR="00652D51" w:rsidRPr="00652D51" w:rsidRDefault="00652D51" w:rsidP="00652D51">
      <w:pPr>
        <w:spacing w:line="240" w:lineRule="auto"/>
        <w:jc w:val="center"/>
        <w:rPr>
          <w:rFonts w:ascii="Times New Roman" w:eastAsia="Times New Roman" w:hAnsi="Times New Roman" w:cs="Times New Roman"/>
          <w:color w:val="0000FF"/>
          <w:sz w:val="18"/>
          <w:szCs w:val="18"/>
        </w:rPr>
      </w:pPr>
    </w:p>
    <w:p w:rsidR="00652D51" w:rsidRPr="00652D51" w:rsidRDefault="00652D51" w:rsidP="00652D51">
      <w:pPr>
        <w:widowControl w:val="0"/>
        <w:autoSpaceDE w:val="0"/>
        <w:autoSpaceDN w:val="0"/>
        <w:adjustRightInd w:val="0"/>
        <w:spacing w:line="240" w:lineRule="auto"/>
        <w:rPr>
          <w:rFonts w:ascii="Times New Roman" w:eastAsia="Times New Roman" w:hAnsi="Times New Roman" w:cs="Times New Roman"/>
          <w:b/>
          <w:bCs/>
          <w:color w:val="000000"/>
        </w:rPr>
      </w:pPr>
      <w:r w:rsidRPr="00652D51">
        <w:rPr>
          <w:rFonts w:ascii="Times New Roman" w:eastAsia="Times New Roman" w:hAnsi="Times New Roman" w:cs="Times New Roman"/>
          <w:color w:val="000000"/>
          <w:sz w:val="16"/>
          <w:szCs w:val="16"/>
        </w:rPr>
        <w:t>© Copyright 2014 Banner &amp; Witcoff, Ltd. All Rights Reserved. The opinions expressed in this publication are for the purpose of fostering productive discussions of legal issues and do not constitute the rendering of legal counseling or other professional services. No attorney-client relationship is created, nor is there any offer to provide legal services, by the publication and distribution of this edition of PTAB Highlights.</w:t>
      </w:r>
    </w:p>
    <w:p w:rsidR="00652D51" w:rsidRPr="00652D51" w:rsidRDefault="00652D51" w:rsidP="00652D51">
      <w:pPr>
        <w:spacing w:line="240" w:lineRule="auto"/>
        <w:jc w:val="left"/>
        <w:rPr>
          <w:rFonts w:ascii="Times New Roman" w:eastAsia="Times New Roman" w:hAnsi="Times New Roman" w:cs="Times New Roman"/>
        </w:rPr>
      </w:pPr>
    </w:p>
    <w:p w:rsidR="00652D51" w:rsidRPr="00C41E8C" w:rsidRDefault="00652D51"/>
    <w:sectPr w:rsidR="00652D51" w:rsidRPr="00C41E8C" w:rsidSect="00652D51">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41"/>
    <w:rsid w:val="00034F09"/>
    <w:rsid w:val="0004424C"/>
    <w:rsid w:val="00052F67"/>
    <w:rsid w:val="00070481"/>
    <w:rsid w:val="001F3E34"/>
    <w:rsid w:val="002A4D06"/>
    <w:rsid w:val="002F038F"/>
    <w:rsid w:val="002F496B"/>
    <w:rsid w:val="0039674D"/>
    <w:rsid w:val="00424BE0"/>
    <w:rsid w:val="004261FA"/>
    <w:rsid w:val="00454B77"/>
    <w:rsid w:val="004C4720"/>
    <w:rsid w:val="004F7F44"/>
    <w:rsid w:val="00515A6C"/>
    <w:rsid w:val="00520DB3"/>
    <w:rsid w:val="00601F1F"/>
    <w:rsid w:val="00652D51"/>
    <w:rsid w:val="00654FED"/>
    <w:rsid w:val="006555DA"/>
    <w:rsid w:val="006F34FF"/>
    <w:rsid w:val="00724BD9"/>
    <w:rsid w:val="00740E56"/>
    <w:rsid w:val="00746C17"/>
    <w:rsid w:val="00756FE3"/>
    <w:rsid w:val="00843668"/>
    <w:rsid w:val="00881889"/>
    <w:rsid w:val="008C3575"/>
    <w:rsid w:val="009F56D3"/>
    <w:rsid w:val="00A162EC"/>
    <w:rsid w:val="00A64F1E"/>
    <w:rsid w:val="00AA6B41"/>
    <w:rsid w:val="00AC5F11"/>
    <w:rsid w:val="00BA26B3"/>
    <w:rsid w:val="00C31C11"/>
    <w:rsid w:val="00C41E8C"/>
    <w:rsid w:val="00C43DA1"/>
    <w:rsid w:val="00C95519"/>
    <w:rsid w:val="00CB274A"/>
    <w:rsid w:val="00CC4DFD"/>
    <w:rsid w:val="00E209F3"/>
    <w:rsid w:val="00E216D4"/>
    <w:rsid w:val="00E33169"/>
    <w:rsid w:val="00F20B42"/>
    <w:rsid w:val="00F34987"/>
    <w:rsid w:val="00FE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51"/>
    <w:rPr>
      <w:rFonts w:ascii="Tahoma" w:hAnsi="Tahoma" w:cs="Tahoma"/>
      <w:sz w:val="16"/>
      <w:szCs w:val="16"/>
    </w:rPr>
  </w:style>
  <w:style w:type="character" w:styleId="CommentReference">
    <w:name w:val="annotation reference"/>
    <w:basedOn w:val="DefaultParagraphFont"/>
    <w:uiPriority w:val="99"/>
    <w:semiHidden/>
    <w:unhideWhenUsed/>
    <w:rsid w:val="00746C17"/>
    <w:rPr>
      <w:sz w:val="16"/>
      <w:szCs w:val="16"/>
    </w:rPr>
  </w:style>
  <w:style w:type="paragraph" w:styleId="CommentText">
    <w:name w:val="annotation text"/>
    <w:basedOn w:val="Normal"/>
    <w:link w:val="CommentTextChar"/>
    <w:uiPriority w:val="99"/>
    <w:semiHidden/>
    <w:unhideWhenUsed/>
    <w:rsid w:val="00746C17"/>
    <w:pPr>
      <w:spacing w:line="240" w:lineRule="auto"/>
    </w:pPr>
    <w:rPr>
      <w:sz w:val="20"/>
      <w:szCs w:val="20"/>
    </w:rPr>
  </w:style>
  <w:style w:type="character" w:customStyle="1" w:styleId="CommentTextChar">
    <w:name w:val="Comment Text Char"/>
    <w:basedOn w:val="DefaultParagraphFont"/>
    <w:link w:val="CommentText"/>
    <w:uiPriority w:val="99"/>
    <w:semiHidden/>
    <w:rsid w:val="00746C17"/>
    <w:rPr>
      <w:sz w:val="20"/>
      <w:szCs w:val="20"/>
    </w:rPr>
  </w:style>
  <w:style w:type="paragraph" w:styleId="CommentSubject">
    <w:name w:val="annotation subject"/>
    <w:basedOn w:val="CommentText"/>
    <w:next w:val="CommentText"/>
    <w:link w:val="CommentSubjectChar"/>
    <w:uiPriority w:val="99"/>
    <w:semiHidden/>
    <w:unhideWhenUsed/>
    <w:rsid w:val="00746C17"/>
    <w:rPr>
      <w:b/>
      <w:bCs/>
    </w:rPr>
  </w:style>
  <w:style w:type="character" w:customStyle="1" w:styleId="CommentSubjectChar">
    <w:name w:val="Comment Subject Char"/>
    <w:basedOn w:val="CommentTextChar"/>
    <w:link w:val="CommentSubject"/>
    <w:uiPriority w:val="99"/>
    <w:semiHidden/>
    <w:rsid w:val="00746C17"/>
    <w:rPr>
      <w:b/>
      <w:bCs/>
      <w:sz w:val="20"/>
      <w:szCs w:val="20"/>
    </w:rPr>
  </w:style>
  <w:style w:type="character" w:styleId="Hyperlink">
    <w:name w:val="Hyperlink"/>
    <w:basedOn w:val="DefaultParagraphFont"/>
    <w:uiPriority w:val="99"/>
    <w:unhideWhenUsed/>
    <w:rsid w:val="00A162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D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51"/>
    <w:rPr>
      <w:rFonts w:ascii="Tahoma" w:hAnsi="Tahoma" w:cs="Tahoma"/>
      <w:sz w:val="16"/>
      <w:szCs w:val="16"/>
    </w:rPr>
  </w:style>
  <w:style w:type="character" w:styleId="CommentReference">
    <w:name w:val="annotation reference"/>
    <w:basedOn w:val="DefaultParagraphFont"/>
    <w:uiPriority w:val="99"/>
    <w:semiHidden/>
    <w:unhideWhenUsed/>
    <w:rsid w:val="00746C17"/>
    <w:rPr>
      <w:sz w:val="16"/>
      <w:szCs w:val="16"/>
    </w:rPr>
  </w:style>
  <w:style w:type="paragraph" w:styleId="CommentText">
    <w:name w:val="annotation text"/>
    <w:basedOn w:val="Normal"/>
    <w:link w:val="CommentTextChar"/>
    <w:uiPriority w:val="99"/>
    <w:semiHidden/>
    <w:unhideWhenUsed/>
    <w:rsid w:val="00746C17"/>
    <w:pPr>
      <w:spacing w:line="240" w:lineRule="auto"/>
    </w:pPr>
    <w:rPr>
      <w:sz w:val="20"/>
      <w:szCs w:val="20"/>
    </w:rPr>
  </w:style>
  <w:style w:type="character" w:customStyle="1" w:styleId="CommentTextChar">
    <w:name w:val="Comment Text Char"/>
    <w:basedOn w:val="DefaultParagraphFont"/>
    <w:link w:val="CommentText"/>
    <w:uiPriority w:val="99"/>
    <w:semiHidden/>
    <w:rsid w:val="00746C17"/>
    <w:rPr>
      <w:sz w:val="20"/>
      <w:szCs w:val="20"/>
    </w:rPr>
  </w:style>
  <w:style w:type="paragraph" w:styleId="CommentSubject">
    <w:name w:val="annotation subject"/>
    <w:basedOn w:val="CommentText"/>
    <w:next w:val="CommentText"/>
    <w:link w:val="CommentSubjectChar"/>
    <w:uiPriority w:val="99"/>
    <w:semiHidden/>
    <w:unhideWhenUsed/>
    <w:rsid w:val="00746C17"/>
    <w:rPr>
      <w:b/>
      <w:bCs/>
    </w:rPr>
  </w:style>
  <w:style w:type="character" w:customStyle="1" w:styleId="CommentSubjectChar">
    <w:name w:val="Comment Subject Char"/>
    <w:basedOn w:val="CommentTextChar"/>
    <w:link w:val="CommentSubject"/>
    <w:uiPriority w:val="99"/>
    <w:semiHidden/>
    <w:rsid w:val="00746C17"/>
    <w:rPr>
      <w:b/>
      <w:bCs/>
      <w:sz w:val="20"/>
      <w:szCs w:val="20"/>
    </w:rPr>
  </w:style>
  <w:style w:type="character" w:styleId="Hyperlink">
    <w:name w:val="Hyperlink"/>
    <w:basedOn w:val="DefaultParagraphFont"/>
    <w:uiPriority w:val="99"/>
    <w:unhideWhenUsed/>
    <w:rsid w:val="00A162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nnerwitcoff.com/wporter/"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www.bannerwitcoff.com/"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Porter</dc:creator>
  <cp:lastModifiedBy>Amanda Robert</cp:lastModifiedBy>
  <cp:revision>3</cp:revision>
  <dcterms:created xsi:type="dcterms:W3CDTF">2014-10-16T15:56:00Z</dcterms:created>
  <dcterms:modified xsi:type="dcterms:W3CDTF">2014-10-16T15:58:00Z</dcterms:modified>
</cp:coreProperties>
</file>